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A0A6" w14:textId="5FF97DAD" w:rsidR="002C5150" w:rsidRDefault="002C5150" w:rsidP="002C5150">
      <w:pPr>
        <w:ind w:left="-142"/>
        <w:jc w:val="right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Allegato n. 1</w:t>
      </w:r>
    </w:p>
    <w:p w14:paraId="52FF0D67" w14:textId="77777777" w:rsidR="002C5150" w:rsidRDefault="002C5150" w:rsidP="00B52813">
      <w:pPr>
        <w:ind w:left="-142"/>
        <w:jc w:val="center"/>
        <w:rPr>
          <w:rFonts w:ascii="Garamond" w:hAnsi="Garamond"/>
          <w:b/>
          <w:bCs/>
          <w:sz w:val="26"/>
          <w:szCs w:val="26"/>
        </w:rPr>
      </w:pPr>
    </w:p>
    <w:p w14:paraId="15BD8462" w14:textId="0C5C7B9E" w:rsidR="00B52813" w:rsidRPr="001C3369" w:rsidRDefault="00B52813" w:rsidP="00B52813">
      <w:pPr>
        <w:ind w:left="-142"/>
        <w:jc w:val="center"/>
        <w:rPr>
          <w:rFonts w:ascii="Garamond" w:hAnsi="Garamond"/>
          <w:b/>
          <w:bCs/>
          <w:sz w:val="26"/>
          <w:szCs w:val="26"/>
        </w:rPr>
      </w:pPr>
      <w:bookmarkStart w:id="0" w:name="_GoBack"/>
      <w:bookmarkEnd w:id="0"/>
      <w:r w:rsidRPr="001C3369">
        <w:rPr>
          <w:rFonts w:ascii="Garamond" w:hAnsi="Garamond"/>
          <w:b/>
          <w:bCs/>
          <w:sz w:val="26"/>
          <w:szCs w:val="26"/>
        </w:rPr>
        <w:t>ALTRI PROVVEDIMENTI COVID 19</w:t>
      </w:r>
    </w:p>
    <w:p w14:paraId="7DDB6197" w14:textId="77777777" w:rsidR="00B52813" w:rsidRPr="001C3369" w:rsidRDefault="00B52813" w:rsidP="00B52813">
      <w:pPr>
        <w:ind w:left="5955"/>
        <w:jc w:val="center"/>
        <w:rPr>
          <w:rFonts w:ascii="Garamond" w:hAnsi="Garamond"/>
          <w:sz w:val="26"/>
          <w:szCs w:val="26"/>
        </w:rPr>
      </w:pPr>
    </w:p>
    <w:p w14:paraId="643BC6D4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>PER LE ATTIVITA’ COMMERCIALI E GLI ESERCIZI PUBBLICI</w:t>
      </w:r>
    </w:p>
    <w:p w14:paraId="64479F49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</w:p>
    <w:p w14:paraId="2AB69F6B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>A norma del DPCM 1° marzo 2020 - Ulteriori disposizioni attuative del decreto-legge 23 febbraio 2020, n. 6, recante misure urgenti in materia di contenimento e gestione dell'emergenza epidemiologica da COVID-19. (GU n.52 del 1-3-2020)</w:t>
      </w:r>
    </w:p>
    <w:p w14:paraId="3B0E94ED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397425C2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>Le disposizioni di cui al decreto producono il loro effetto dalla data del 2 marzo 2020 e sono efficaci, salve diverse previsioni contenute nelle singole misure, fino all'8 marzo 2020</w:t>
      </w:r>
    </w:p>
    <w:p w14:paraId="37D95F44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29287ABD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1C3369">
        <w:rPr>
          <w:rFonts w:ascii="Garamond" w:hAnsi="Garamond"/>
          <w:b/>
          <w:bCs/>
          <w:sz w:val="26"/>
          <w:szCs w:val="26"/>
          <w:u w:val="single"/>
        </w:rPr>
        <w:t xml:space="preserve">Art. 1. Misure </w:t>
      </w:r>
      <w:proofErr w:type="gramStart"/>
      <w:r w:rsidRPr="001C3369">
        <w:rPr>
          <w:rFonts w:ascii="Garamond" w:hAnsi="Garamond"/>
          <w:b/>
          <w:bCs/>
          <w:sz w:val="26"/>
          <w:szCs w:val="26"/>
          <w:u w:val="single"/>
        </w:rPr>
        <w:t>urgenti  di</w:t>
      </w:r>
      <w:proofErr w:type="gramEnd"/>
      <w:r w:rsidRPr="001C3369">
        <w:rPr>
          <w:rFonts w:ascii="Garamond" w:hAnsi="Garamond"/>
          <w:b/>
          <w:bCs/>
          <w:sz w:val="26"/>
          <w:szCs w:val="26"/>
          <w:u w:val="single"/>
        </w:rPr>
        <w:t xml:space="preserve">  contenimento  del  contagio  nei  comuni  di  cui all'allegato 1</w:t>
      </w:r>
    </w:p>
    <w:p w14:paraId="10F95FA2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49D67B74" w14:textId="77777777" w:rsidR="00B52813" w:rsidRPr="001C3369" w:rsidRDefault="00B52813" w:rsidP="00B52813">
      <w:pPr>
        <w:pStyle w:val="Paragrafoelenco"/>
        <w:numPr>
          <w:ilvl w:val="0"/>
          <w:numId w:val="1"/>
        </w:numPr>
        <w:contextualSpacing/>
        <w:jc w:val="both"/>
        <w:rPr>
          <w:rFonts w:ascii="Garamond" w:hAnsi="Garamond"/>
          <w:b/>
          <w:bCs/>
          <w:sz w:val="26"/>
          <w:szCs w:val="26"/>
        </w:rPr>
      </w:pPr>
      <w:proofErr w:type="gramStart"/>
      <w:r w:rsidRPr="001C3369">
        <w:rPr>
          <w:rFonts w:ascii="Garamond" w:hAnsi="Garamond"/>
          <w:b/>
          <w:bCs/>
          <w:sz w:val="26"/>
          <w:szCs w:val="26"/>
        </w:rPr>
        <w:t>Nei  comuni</w:t>
      </w:r>
      <w:proofErr w:type="gramEnd"/>
      <w:r w:rsidRPr="001C3369">
        <w:rPr>
          <w:rFonts w:ascii="Garamond" w:hAnsi="Garamond"/>
          <w:b/>
          <w:bCs/>
          <w:sz w:val="26"/>
          <w:szCs w:val="26"/>
        </w:rPr>
        <w:t xml:space="preserve">  indicati  nell'allegato 1,  sono adottate le seguenti misure di contenimento:</w:t>
      </w:r>
    </w:p>
    <w:p w14:paraId="444AF46C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0A8FA090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>Allegato 1</w:t>
      </w:r>
    </w:p>
    <w:p w14:paraId="430F792C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43A8640D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</w:t>
      </w:r>
      <w:r w:rsidRPr="001C3369">
        <w:rPr>
          <w:rFonts w:ascii="Garamond" w:hAnsi="Garamond"/>
          <w:b/>
          <w:bCs/>
          <w:sz w:val="26"/>
          <w:szCs w:val="26"/>
        </w:rPr>
        <w:t>(1)</w:t>
      </w:r>
      <w:r w:rsidRPr="001C3369">
        <w:rPr>
          <w:rFonts w:ascii="Garamond" w:hAnsi="Garamond"/>
          <w:sz w:val="26"/>
          <w:szCs w:val="26"/>
        </w:rPr>
        <w:t xml:space="preserve"> </w:t>
      </w:r>
      <w:r w:rsidRPr="001C3369">
        <w:rPr>
          <w:rFonts w:ascii="Garamond" w:hAnsi="Garamond"/>
          <w:i/>
          <w:iCs/>
          <w:sz w:val="26"/>
          <w:szCs w:val="26"/>
        </w:rPr>
        <w:t>Regione Lombardia</w:t>
      </w:r>
      <w:r w:rsidRPr="001C3369">
        <w:rPr>
          <w:rFonts w:ascii="Garamond" w:hAnsi="Garamond"/>
          <w:sz w:val="26"/>
          <w:szCs w:val="26"/>
        </w:rPr>
        <w:t xml:space="preserve">: </w:t>
      </w:r>
    </w:p>
    <w:p w14:paraId="2E13231C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    a) Bertonico; b) Casalpusterlengo; c) </w:t>
      </w:r>
      <w:proofErr w:type="spellStart"/>
      <w:r w:rsidRPr="001C3369">
        <w:rPr>
          <w:rFonts w:ascii="Garamond" w:hAnsi="Garamond"/>
          <w:sz w:val="26"/>
          <w:szCs w:val="26"/>
        </w:rPr>
        <w:t>Castelgerundo</w:t>
      </w:r>
      <w:proofErr w:type="spellEnd"/>
      <w:r w:rsidRPr="001C3369">
        <w:rPr>
          <w:rFonts w:ascii="Garamond" w:hAnsi="Garamond"/>
          <w:sz w:val="26"/>
          <w:szCs w:val="26"/>
        </w:rPr>
        <w:t xml:space="preserve">; d) Castiglione D'Adda; e) Codogno; f) Fombio; g) Maleo; h) San Fiorano; i) Somaglia; l) Terranova dei Passerini. </w:t>
      </w:r>
    </w:p>
    <w:p w14:paraId="2F36C197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     (2)</w:t>
      </w:r>
      <w:r w:rsidRPr="001C3369">
        <w:rPr>
          <w:rFonts w:ascii="Garamond" w:hAnsi="Garamond"/>
          <w:sz w:val="26"/>
          <w:szCs w:val="26"/>
        </w:rPr>
        <w:t xml:space="preserve"> </w:t>
      </w:r>
      <w:r w:rsidRPr="001C3369">
        <w:rPr>
          <w:rFonts w:ascii="Garamond" w:hAnsi="Garamond"/>
          <w:i/>
          <w:iCs/>
          <w:sz w:val="26"/>
          <w:szCs w:val="26"/>
        </w:rPr>
        <w:t>Regione Veneto</w:t>
      </w:r>
      <w:r w:rsidRPr="001C3369">
        <w:rPr>
          <w:rFonts w:ascii="Garamond" w:hAnsi="Garamond"/>
          <w:sz w:val="26"/>
          <w:szCs w:val="26"/>
        </w:rPr>
        <w:t xml:space="preserve">: </w:t>
      </w:r>
    </w:p>
    <w:p w14:paraId="62AD7E38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    a) Vo'.</w:t>
      </w:r>
    </w:p>
    <w:p w14:paraId="34D0054F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2B686ECF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>I)</w:t>
      </w:r>
      <w:r w:rsidRPr="001C3369">
        <w:rPr>
          <w:rFonts w:ascii="Garamond" w:hAnsi="Garamond"/>
          <w:sz w:val="26"/>
          <w:szCs w:val="26"/>
        </w:rPr>
        <w:t xml:space="preserve"> È disposta la chiusura di tutte le attività commerciali, </w:t>
      </w:r>
      <w:proofErr w:type="gramStart"/>
      <w:r w:rsidRPr="001C3369">
        <w:rPr>
          <w:rFonts w:ascii="Garamond" w:hAnsi="Garamond"/>
          <w:sz w:val="26"/>
          <w:szCs w:val="26"/>
        </w:rPr>
        <w:t>ad  esclusione</w:t>
      </w:r>
      <w:proofErr w:type="gramEnd"/>
      <w:r w:rsidRPr="001C3369">
        <w:rPr>
          <w:rFonts w:ascii="Garamond" w:hAnsi="Garamond"/>
          <w:sz w:val="26"/>
          <w:szCs w:val="26"/>
        </w:rPr>
        <w:t xml:space="preserve">  di quelle di pubblica utilità, dei servizi pubblici essenziali  di  cui agli articoli 1 e 2 della legge 12  giugno  1990,  n.  </w:t>
      </w:r>
      <w:proofErr w:type="gramStart"/>
      <w:r w:rsidRPr="001C3369">
        <w:rPr>
          <w:rFonts w:ascii="Garamond" w:hAnsi="Garamond"/>
          <w:sz w:val="26"/>
          <w:szCs w:val="26"/>
        </w:rPr>
        <w:t>146,  e</w:t>
      </w:r>
      <w:proofErr w:type="gramEnd"/>
      <w:r w:rsidRPr="001C3369">
        <w:rPr>
          <w:rFonts w:ascii="Garamond" w:hAnsi="Garamond"/>
          <w:sz w:val="26"/>
          <w:szCs w:val="26"/>
        </w:rPr>
        <w:t xml:space="preserve">  degli esercizi commerciali per l'acquisto dei  beni  di  prima  necessità, secondo le modalità  e  i  limiti  indicati  con  provvedimento  del prefetto territorialmente competente.</w:t>
      </w:r>
    </w:p>
    <w:p w14:paraId="606FBD22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39B7BB8F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>J)</w:t>
      </w:r>
      <w:r w:rsidRPr="001C3369">
        <w:rPr>
          <w:rFonts w:ascii="Garamond" w:hAnsi="Garamond"/>
          <w:sz w:val="26"/>
          <w:szCs w:val="26"/>
        </w:rPr>
        <w:t xml:space="preserve"> È previsto l’obbligo di accedere ai </w:t>
      </w:r>
      <w:proofErr w:type="gramStart"/>
      <w:r w:rsidRPr="001C3369">
        <w:rPr>
          <w:rFonts w:ascii="Garamond" w:hAnsi="Garamond"/>
          <w:sz w:val="26"/>
          <w:szCs w:val="26"/>
        </w:rPr>
        <w:t>servizi  pubblici</w:t>
      </w:r>
      <w:proofErr w:type="gramEnd"/>
      <w:r w:rsidRPr="001C3369">
        <w:rPr>
          <w:rFonts w:ascii="Garamond" w:hAnsi="Garamond"/>
          <w:sz w:val="26"/>
          <w:szCs w:val="26"/>
        </w:rPr>
        <w:t xml:space="preserve">  essenziali,  nonché' agli esercizi commerciali per l'acquisto di beni di prima  necessità indossando  dispositivi  di  protezione   individuale   o   adottando particolari  misure  di  cautela  individuate  dal  dipartimento   di prevenzione dell'azienda sanitaria competente per territorio.</w:t>
      </w:r>
    </w:p>
    <w:p w14:paraId="58A3409A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09F2441E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  <w:u w:val="single"/>
        </w:rPr>
        <w:t xml:space="preserve">Art. 2. Misure urgenti di contenimento del </w:t>
      </w:r>
      <w:proofErr w:type="gramStart"/>
      <w:r w:rsidRPr="001C3369">
        <w:rPr>
          <w:rFonts w:ascii="Garamond" w:hAnsi="Garamond"/>
          <w:b/>
          <w:bCs/>
          <w:sz w:val="26"/>
          <w:szCs w:val="26"/>
          <w:u w:val="single"/>
        </w:rPr>
        <w:t>contagio  nelle</w:t>
      </w:r>
      <w:proofErr w:type="gramEnd"/>
      <w:r w:rsidRPr="001C3369">
        <w:rPr>
          <w:rFonts w:ascii="Garamond" w:hAnsi="Garamond"/>
          <w:b/>
          <w:bCs/>
          <w:sz w:val="26"/>
          <w:szCs w:val="26"/>
          <w:u w:val="single"/>
        </w:rPr>
        <w:t xml:space="preserve">  regioni  e  nelle province di cui agli allegati 2 e 3</w:t>
      </w:r>
    </w:p>
    <w:p w14:paraId="2E2BE327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b/>
          <w:bCs/>
          <w:sz w:val="26"/>
          <w:szCs w:val="26"/>
        </w:rPr>
      </w:pPr>
    </w:p>
    <w:p w14:paraId="64B6281B" w14:textId="77777777" w:rsidR="00B52813" w:rsidRPr="001C3369" w:rsidRDefault="00B52813" w:rsidP="00B52813">
      <w:pPr>
        <w:pStyle w:val="Paragrafoelenco"/>
        <w:numPr>
          <w:ilvl w:val="0"/>
          <w:numId w:val="1"/>
        </w:numPr>
        <w:contextualSpacing/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Nelle regioni e nelle province di </w:t>
      </w:r>
      <w:proofErr w:type="gramStart"/>
      <w:r w:rsidRPr="001C3369">
        <w:rPr>
          <w:rFonts w:ascii="Garamond" w:hAnsi="Garamond"/>
          <w:b/>
          <w:bCs/>
          <w:sz w:val="26"/>
          <w:szCs w:val="26"/>
        </w:rPr>
        <w:t>cui  all'allegato</w:t>
      </w:r>
      <w:proofErr w:type="gramEnd"/>
      <w:r w:rsidRPr="001C3369">
        <w:rPr>
          <w:rFonts w:ascii="Garamond" w:hAnsi="Garamond"/>
          <w:b/>
          <w:bCs/>
          <w:sz w:val="26"/>
          <w:szCs w:val="26"/>
        </w:rPr>
        <w:t xml:space="preserve">  2  sono adottate le seguenti misure di contenimento:</w:t>
      </w:r>
    </w:p>
    <w:p w14:paraId="3B2D84F3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b/>
          <w:bCs/>
          <w:sz w:val="26"/>
          <w:szCs w:val="26"/>
        </w:rPr>
      </w:pPr>
    </w:p>
    <w:p w14:paraId="5C5242C1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Allegato 2 </w:t>
      </w:r>
    </w:p>
    <w:p w14:paraId="5AD7D634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</w:t>
      </w:r>
    </w:p>
    <w:p w14:paraId="25417EE8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i/>
          <w:iCs/>
          <w:sz w:val="26"/>
          <w:szCs w:val="26"/>
        </w:rPr>
      </w:pPr>
      <w:r w:rsidRPr="001C3369">
        <w:rPr>
          <w:rFonts w:ascii="Garamond" w:hAnsi="Garamond"/>
          <w:i/>
          <w:iCs/>
          <w:sz w:val="26"/>
          <w:szCs w:val="26"/>
        </w:rPr>
        <w:t xml:space="preserve">    Regioni: </w:t>
      </w:r>
    </w:p>
    <w:p w14:paraId="5CAE40FA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  a) Emilia-Romagna; b) Lombardia; c) Veneto</w:t>
      </w:r>
    </w:p>
    <w:p w14:paraId="23FFA797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</w:p>
    <w:p w14:paraId="21CD0D7F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i/>
          <w:iCs/>
          <w:sz w:val="26"/>
          <w:szCs w:val="26"/>
        </w:rPr>
      </w:pPr>
      <w:r w:rsidRPr="001C3369">
        <w:rPr>
          <w:rFonts w:ascii="Garamond" w:hAnsi="Garamond"/>
          <w:i/>
          <w:iCs/>
          <w:sz w:val="26"/>
          <w:szCs w:val="26"/>
        </w:rPr>
        <w:lastRenderedPageBreak/>
        <w:t xml:space="preserve">    Province: </w:t>
      </w:r>
    </w:p>
    <w:p w14:paraId="528B791B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  a) Pesaro e Urbino; b) Savona. </w:t>
      </w:r>
    </w:p>
    <w:p w14:paraId="4BB1F4F2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</w:t>
      </w:r>
    </w:p>
    <w:p w14:paraId="050ED696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>H)</w:t>
      </w:r>
      <w:r w:rsidRPr="001C3369">
        <w:rPr>
          <w:rFonts w:ascii="Garamond" w:hAnsi="Garamond"/>
          <w:sz w:val="26"/>
          <w:szCs w:val="26"/>
        </w:rPr>
        <w:t xml:space="preserve"> È consentito lo svolgimento delle attività di ristorazione, bar </w:t>
      </w:r>
      <w:proofErr w:type="gramStart"/>
      <w:r w:rsidRPr="001C3369">
        <w:rPr>
          <w:rFonts w:ascii="Garamond" w:hAnsi="Garamond"/>
          <w:sz w:val="26"/>
          <w:szCs w:val="26"/>
        </w:rPr>
        <w:t>e  pub</w:t>
      </w:r>
      <w:proofErr w:type="gramEnd"/>
      <w:r w:rsidRPr="001C3369">
        <w:rPr>
          <w:rFonts w:ascii="Garamond" w:hAnsi="Garamond"/>
          <w:sz w:val="26"/>
          <w:szCs w:val="26"/>
        </w:rPr>
        <w:t>,  a condizione che il servizio sia espletato per i soli posti a sedere  e che, tenendo conto  delle  dimensioni  e  delle  caratteristiche  dei locali, gli avventori siano messi nelle condizioni di  rispettare  la distanza tra loro di almeno un metro.</w:t>
      </w:r>
    </w:p>
    <w:p w14:paraId="254AF6D6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</w:p>
    <w:p w14:paraId="47EC2803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>I)</w:t>
      </w:r>
      <w:r w:rsidRPr="001C3369">
        <w:rPr>
          <w:rFonts w:ascii="Garamond" w:hAnsi="Garamond"/>
          <w:sz w:val="26"/>
          <w:szCs w:val="26"/>
        </w:rPr>
        <w:t xml:space="preserve"> È consentita l’apertura delle attività commerciali diverse da quelle di  cui alla lettera h), condizionata  all'adozione  di  misure  organizzative tali da consentire  un  accesso  ai  predetti  luoghi  con  modalità contingentate o comunque idonee a evitare assembramenti  di  persone, tenuto conto delle dimensioni  e  delle  caratteristiche  dei  locali aperti  al  pubblico,  e  tali  da  garantire  ai  frequentatori   la possibilità di rispettare la distanza  di  almeno  un  metro  tra  i visitatori.</w:t>
      </w:r>
    </w:p>
    <w:p w14:paraId="49C7E4BD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149F04D9" w14:textId="77777777" w:rsidR="00B52813" w:rsidRPr="001C3369" w:rsidRDefault="00B52813" w:rsidP="00B52813">
      <w:pPr>
        <w:pStyle w:val="Paragrafoelenco"/>
        <w:numPr>
          <w:ilvl w:val="0"/>
          <w:numId w:val="1"/>
        </w:numPr>
        <w:contextualSpacing/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Nelle sole province di cui all'allegato </w:t>
      </w:r>
      <w:proofErr w:type="gramStart"/>
      <w:r w:rsidRPr="001C3369">
        <w:rPr>
          <w:rFonts w:ascii="Garamond" w:hAnsi="Garamond"/>
          <w:b/>
          <w:bCs/>
          <w:sz w:val="26"/>
          <w:szCs w:val="26"/>
        </w:rPr>
        <w:t>3</w:t>
      </w:r>
      <w:proofErr w:type="gramEnd"/>
      <w:r w:rsidRPr="001C3369">
        <w:rPr>
          <w:rFonts w:ascii="Garamond" w:hAnsi="Garamond"/>
          <w:b/>
          <w:bCs/>
          <w:sz w:val="26"/>
          <w:szCs w:val="26"/>
        </w:rPr>
        <w:t xml:space="preserve"> si applica altresì la seguente misura:</w:t>
      </w:r>
    </w:p>
    <w:p w14:paraId="3389B8AC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457E6F08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Allegato 3 </w:t>
      </w:r>
    </w:p>
    <w:p w14:paraId="1E7669DD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</w:t>
      </w:r>
    </w:p>
    <w:p w14:paraId="3FC8029A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i/>
          <w:iCs/>
          <w:sz w:val="26"/>
          <w:szCs w:val="26"/>
        </w:rPr>
        <w:t xml:space="preserve">    Province: </w:t>
      </w:r>
      <w:r w:rsidRPr="001C3369">
        <w:rPr>
          <w:rFonts w:ascii="Garamond" w:hAnsi="Garamond"/>
          <w:sz w:val="26"/>
          <w:szCs w:val="26"/>
        </w:rPr>
        <w:t>a) Bergamo; b) Lodi; c) Piacenza; d) Cremona.</w:t>
      </w:r>
    </w:p>
    <w:p w14:paraId="77189413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04F59DB5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a) chiusura nelle giornate di sabato </w:t>
      </w:r>
      <w:proofErr w:type="gramStart"/>
      <w:r w:rsidRPr="001C3369">
        <w:rPr>
          <w:rFonts w:ascii="Garamond" w:hAnsi="Garamond"/>
          <w:sz w:val="26"/>
          <w:szCs w:val="26"/>
        </w:rPr>
        <w:t>e  domenica</w:t>
      </w:r>
      <w:proofErr w:type="gramEnd"/>
      <w:r w:rsidRPr="001C3369">
        <w:rPr>
          <w:rFonts w:ascii="Garamond" w:hAnsi="Garamond"/>
          <w:sz w:val="26"/>
          <w:szCs w:val="26"/>
        </w:rPr>
        <w:t xml:space="preserve">  delle  medie  e grandi strutture di vendita e  degli  esercizi  commerciali  presenti all'interno dei centri commerciali e dei mercati, ad esclusione delle farmacie,  delle  parafarmacie  e  dei  punti   vendita   di   generi alimentari.</w:t>
      </w:r>
    </w:p>
    <w:p w14:paraId="5DAFE585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40050512" w14:textId="77777777" w:rsidR="00B52813" w:rsidRPr="001C3369" w:rsidRDefault="00B52813" w:rsidP="00B52813">
      <w:pPr>
        <w:pStyle w:val="Paragrafoelenco"/>
        <w:numPr>
          <w:ilvl w:val="0"/>
          <w:numId w:val="1"/>
        </w:numPr>
        <w:contextualSpacing/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Nella sola regione Lombardia e nella sola provincia </w:t>
      </w:r>
      <w:proofErr w:type="gramStart"/>
      <w:r w:rsidRPr="001C3369">
        <w:rPr>
          <w:rFonts w:ascii="Garamond" w:hAnsi="Garamond"/>
          <w:b/>
          <w:bCs/>
          <w:sz w:val="26"/>
          <w:szCs w:val="26"/>
        </w:rPr>
        <w:t>di  Piacenza</w:t>
      </w:r>
      <w:proofErr w:type="gramEnd"/>
      <w:r w:rsidRPr="001C3369">
        <w:rPr>
          <w:rFonts w:ascii="Garamond" w:hAnsi="Garamond"/>
          <w:b/>
          <w:bCs/>
          <w:sz w:val="26"/>
          <w:szCs w:val="26"/>
        </w:rPr>
        <w:t xml:space="preserve"> si applica altresì la seguente misura:</w:t>
      </w:r>
    </w:p>
    <w:p w14:paraId="1BA050A5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704279E5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a) sospensione </w:t>
      </w:r>
      <w:proofErr w:type="gramStart"/>
      <w:r w:rsidRPr="001C3369">
        <w:rPr>
          <w:rFonts w:ascii="Garamond" w:hAnsi="Garamond"/>
          <w:sz w:val="26"/>
          <w:szCs w:val="26"/>
        </w:rPr>
        <w:t>delle  attività</w:t>
      </w:r>
      <w:proofErr w:type="gramEnd"/>
      <w:r w:rsidRPr="001C3369">
        <w:rPr>
          <w:rFonts w:ascii="Garamond" w:hAnsi="Garamond"/>
          <w:sz w:val="26"/>
          <w:szCs w:val="26"/>
        </w:rPr>
        <w:t xml:space="preserve">  di  palestre, centri  sportivi, piscine, centri natatori, centri  benessere,  centri  termali,  fatta eccezione per l'erogazione delle prestazioni rientranti  nei  livelli essenziali di assistenza, centri culturali,  centri  sociali,  centri ricreativi.</w:t>
      </w:r>
    </w:p>
    <w:p w14:paraId="414B299F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7B889419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>Art. 3. Misure di informazione e prevenzione sull'intero territorio nazionale</w:t>
      </w:r>
    </w:p>
    <w:p w14:paraId="41A66D08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28B19FC1" w14:textId="77777777" w:rsidR="00B52813" w:rsidRPr="001C3369" w:rsidRDefault="00B52813" w:rsidP="00B52813">
      <w:pPr>
        <w:pStyle w:val="Paragrafoelenco"/>
        <w:numPr>
          <w:ilvl w:val="0"/>
          <w:numId w:val="1"/>
        </w:numPr>
        <w:contextualSpacing/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Nell'ambito dell'intero territorio nazionale, fra le misure previste, si stabilisce che </w:t>
      </w:r>
      <w:proofErr w:type="gramStart"/>
      <w:r w:rsidRPr="001C3369">
        <w:rPr>
          <w:rFonts w:ascii="Garamond" w:hAnsi="Garamond"/>
          <w:b/>
          <w:bCs/>
          <w:sz w:val="26"/>
          <w:szCs w:val="26"/>
        </w:rPr>
        <w:t>le  associazioni</w:t>
      </w:r>
      <w:proofErr w:type="gramEnd"/>
      <w:r w:rsidRPr="001C3369">
        <w:rPr>
          <w:rFonts w:ascii="Garamond" w:hAnsi="Garamond"/>
          <w:b/>
          <w:bCs/>
          <w:sz w:val="26"/>
          <w:szCs w:val="26"/>
        </w:rPr>
        <w:t xml:space="preserve">  di  categoria  promuovono  la diffusione delle informazioni sulle  misure  di  prevenzione igienico sanitarie  elencate  nell'allegato  4  presso  gli  esercizi commerciali:</w:t>
      </w:r>
    </w:p>
    <w:p w14:paraId="414A6C68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5F2D9B96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Si sollecitano dunque i colleghi sul territorio a promuovere presso le imprese associate le seguenti informazioni, di cui all’Allegato </w:t>
      </w:r>
      <w:proofErr w:type="gramStart"/>
      <w:r w:rsidRPr="001C3369">
        <w:rPr>
          <w:rFonts w:ascii="Garamond" w:hAnsi="Garamond"/>
          <w:b/>
          <w:bCs/>
          <w:sz w:val="26"/>
          <w:szCs w:val="26"/>
        </w:rPr>
        <w:t>4</w:t>
      </w:r>
      <w:proofErr w:type="gramEnd"/>
      <w:r w:rsidRPr="001C3369">
        <w:rPr>
          <w:rFonts w:ascii="Garamond" w:hAnsi="Garamond"/>
          <w:b/>
          <w:bCs/>
          <w:sz w:val="26"/>
          <w:szCs w:val="26"/>
        </w:rPr>
        <w:t xml:space="preserve"> al DPCM:</w:t>
      </w:r>
    </w:p>
    <w:p w14:paraId="73B6A01B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 </w:t>
      </w:r>
    </w:p>
    <w:p w14:paraId="40292B1D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>Misure igieniche:</w:t>
      </w:r>
    </w:p>
    <w:p w14:paraId="0667C264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</w:p>
    <w:p w14:paraId="55993B69" w14:textId="1D0E43C8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a) lavarsi spesso le mani. Si raccomanda di mettere a disposizione in </w:t>
      </w:r>
      <w:proofErr w:type="gramStart"/>
      <w:r w:rsidRPr="001C3369">
        <w:rPr>
          <w:rFonts w:ascii="Garamond" w:hAnsi="Garamond"/>
          <w:sz w:val="26"/>
          <w:szCs w:val="26"/>
        </w:rPr>
        <w:t>tutti  i</w:t>
      </w:r>
      <w:proofErr w:type="gramEnd"/>
      <w:r w:rsidRPr="001C3369">
        <w:rPr>
          <w:rFonts w:ascii="Garamond" w:hAnsi="Garamond"/>
          <w:sz w:val="26"/>
          <w:szCs w:val="26"/>
        </w:rPr>
        <w:t xml:space="preserve">  locali  pubblici,  palestre,  supermercati, farmacie e altri luoghi di aggregazione, soluzioni idroalcoliche  per il lavaggio delle mani; </w:t>
      </w:r>
    </w:p>
    <w:p w14:paraId="7289171D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b) evitare il contatto ravvicinato con persone che </w:t>
      </w:r>
      <w:proofErr w:type="gramStart"/>
      <w:r w:rsidRPr="001C3369">
        <w:rPr>
          <w:rFonts w:ascii="Garamond" w:hAnsi="Garamond"/>
          <w:sz w:val="26"/>
          <w:szCs w:val="26"/>
        </w:rPr>
        <w:t>soffrono  di</w:t>
      </w:r>
      <w:proofErr w:type="gramEnd"/>
      <w:r w:rsidRPr="001C3369">
        <w:rPr>
          <w:rFonts w:ascii="Garamond" w:hAnsi="Garamond"/>
          <w:sz w:val="26"/>
          <w:szCs w:val="26"/>
        </w:rPr>
        <w:t xml:space="preserve"> infezioni respiratorie acute; </w:t>
      </w:r>
    </w:p>
    <w:p w14:paraId="1048A9ED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lastRenderedPageBreak/>
        <w:t xml:space="preserve">c) non toccarsi occhi, naso e bocca con le mani; </w:t>
      </w:r>
    </w:p>
    <w:p w14:paraId="4EAB9C46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d) coprirsi bocca e naso se si starnutisce o tossisce; </w:t>
      </w:r>
    </w:p>
    <w:p w14:paraId="28970598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e) non prendere farmaci antivirali e </w:t>
      </w:r>
      <w:proofErr w:type="gramStart"/>
      <w:r w:rsidRPr="001C3369">
        <w:rPr>
          <w:rFonts w:ascii="Garamond" w:hAnsi="Garamond"/>
          <w:sz w:val="26"/>
          <w:szCs w:val="26"/>
        </w:rPr>
        <w:t>antibiotici,  a</w:t>
      </w:r>
      <w:proofErr w:type="gramEnd"/>
      <w:r w:rsidRPr="001C3369">
        <w:rPr>
          <w:rFonts w:ascii="Garamond" w:hAnsi="Garamond"/>
          <w:sz w:val="26"/>
          <w:szCs w:val="26"/>
        </w:rPr>
        <w:t xml:space="preserve">  meno  che siano prescritti dal medico; </w:t>
      </w:r>
    </w:p>
    <w:p w14:paraId="44BE5BBB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f) pulire le superfici con </w:t>
      </w:r>
      <w:proofErr w:type="gramStart"/>
      <w:r w:rsidRPr="001C3369">
        <w:rPr>
          <w:rFonts w:ascii="Garamond" w:hAnsi="Garamond"/>
          <w:sz w:val="26"/>
          <w:szCs w:val="26"/>
        </w:rPr>
        <w:t>disinfettanti  a</w:t>
      </w:r>
      <w:proofErr w:type="gramEnd"/>
      <w:r w:rsidRPr="001C3369">
        <w:rPr>
          <w:rFonts w:ascii="Garamond" w:hAnsi="Garamond"/>
          <w:sz w:val="26"/>
          <w:szCs w:val="26"/>
        </w:rPr>
        <w:t xml:space="preserve">  base  di  cloro  o alcol; </w:t>
      </w:r>
    </w:p>
    <w:p w14:paraId="55D1E1A9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g) usare la mascherina solo se si sospetta di </w:t>
      </w:r>
      <w:proofErr w:type="gramStart"/>
      <w:r w:rsidRPr="001C3369">
        <w:rPr>
          <w:rFonts w:ascii="Garamond" w:hAnsi="Garamond"/>
          <w:sz w:val="26"/>
          <w:szCs w:val="26"/>
        </w:rPr>
        <w:t>essere  malato</w:t>
      </w:r>
      <w:proofErr w:type="gramEnd"/>
      <w:r w:rsidRPr="001C3369">
        <w:rPr>
          <w:rFonts w:ascii="Garamond" w:hAnsi="Garamond"/>
          <w:sz w:val="26"/>
          <w:szCs w:val="26"/>
        </w:rPr>
        <w:t xml:space="preserve">  o si assiste persone malate.</w:t>
      </w:r>
    </w:p>
    <w:p w14:paraId="6FCAEA3B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</w:p>
    <w:p w14:paraId="5688D178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Considerate le previsioni di cui all’Allegato </w:t>
      </w:r>
      <w:proofErr w:type="gramStart"/>
      <w:r w:rsidRPr="001C3369">
        <w:rPr>
          <w:rFonts w:ascii="Garamond" w:hAnsi="Garamond"/>
          <w:b/>
          <w:bCs/>
          <w:sz w:val="26"/>
          <w:szCs w:val="26"/>
        </w:rPr>
        <w:t>2</w:t>
      </w:r>
      <w:proofErr w:type="gramEnd"/>
      <w:r w:rsidRPr="001C3369">
        <w:rPr>
          <w:rFonts w:ascii="Garamond" w:hAnsi="Garamond"/>
          <w:b/>
          <w:bCs/>
          <w:sz w:val="26"/>
          <w:szCs w:val="26"/>
        </w:rPr>
        <w:t xml:space="preserve"> inerenti locali pubblici ed altri esercizi commerciali ed a valere per le </w:t>
      </w:r>
      <w:r w:rsidRPr="001C3369">
        <w:rPr>
          <w:rFonts w:ascii="Garamond" w:hAnsi="Garamond"/>
          <w:b/>
          <w:bCs/>
          <w:sz w:val="26"/>
          <w:szCs w:val="26"/>
          <w:u w:val="single"/>
        </w:rPr>
        <w:t>Regioni Emilia-Romagna, Lombardia e Veneto e le Province Pesaro e Urbino e Savona</w:t>
      </w:r>
      <w:r w:rsidRPr="001C3369">
        <w:rPr>
          <w:rFonts w:ascii="Garamond" w:hAnsi="Garamond"/>
          <w:b/>
          <w:bCs/>
          <w:sz w:val="26"/>
          <w:szCs w:val="26"/>
        </w:rPr>
        <w:t xml:space="preserve">, con riferimento alla distanza che è necessario sia rispettata tra gli avventori, abbiamo inoltre predisposto l’allegato </w:t>
      </w:r>
      <w:r w:rsidRPr="001C3369">
        <w:rPr>
          <w:rFonts w:ascii="Garamond" w:hAnsi="Garamond"/>
          <w:b/>
          <w:bCs/>
          <w:sz w:val="26"/>
          <w:szCs w:val="26"/>
          <w:u w:val="single"/>
        </w:rPr>
        <w:t>avviso alla clientela</w:t>
      </w:r>
      <w:r w:rsidRPr="001C3369">
        <w:rPr>
          <w:rFonts w:ascii="Garamond" w:hAnsi="Garamond"/>
          <w:b/>
          <w:bCs/>
          <w:sz w:val="26"/>
          <w:szCs w:val="26"/>
        </w:rPr>
        <w:t>, da esporre all’interno dei locali.</w:t>
      </w:r>
    </w:p>
    <w:p w14:paraId="59D8C222" w14:textId="77777777" w:rsidR="00B52813" w:rsidRPr="001C3369" w:rsidRDefault="00B52813" w:rsidP="00B52813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6B9C6E83" w14:textId="77777777" w:rsidR="00B52813" w:rsidRPr="001C3369" w:rsidRDefault="002E32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eastAsia="Calibri" w:hAnsi="Garamond"/>
          <w:noProof/>
          <w:sz w:val="26"/>
          <w:szCs w:val="26"/>
        </w:rPr>
        <w:fldChar w:fldCharType="begin"/>
      </w:r>
      <w:r w:rsidRPr="001C3369">
        <w:rPr>
          <w:rFonts w:ascii="Garamond" w:eastAsia="Calibri" w:hAnsi="Garamond"/>
          <w:noProof/>
          <w:sz w:val="26"/>
          <w:szCs w:val="26"/>
        </w:rPr>
        <w:instrText xml:space="preserve"> INCLUDEPICTURE  "cid:image001.jpg@01D5F173.13271880" \* MERGEFORMATINET </w:instrText>
      </w:r>
      <w:r w:rsidRPr="001C3369">
        <w:rPr>
          <w:rFonts w:ascii="Garamond" w:eastAsia="Calibri" w:hAnsi="Garamond"/>
          <w:noProof/>
          <w:sz w:val="26"/>
          <w:szCs w:val="26"/>
        </w:rPr>
        <w:fldChar w:fldCharType="separate"/>
      </w:r>
      <w:r w:rsidR="001C3369" w:rsidRPr="001C3369">
        <w:rPr>
          <w:rFonts w:ascii="Garamond" w:eastAsia="Calibri" w:hAnsi="Garamond"/>
          <w:noProof/>
          <w:sz w:val="26"/>
          <w:szCs w:val="26"/>
        </w:rPr>
        <w:fldChar w:fldCharType="begin"/>
      </w:r>
      <w:r w:rsidR="001C3369" w:rsidRPr="001C3369">
        <w:rPr>
          <w:rFonts w:ascii="Garamond" w:eastAsia="Calibri" w:hAnsi="Garamond"/>
          <w:noProof/>
          <w:sz w:val="26"/>
          <w:szCs w:val="26"/>
        </w:rPr>
        <w:instrText xml:space="preserve"> INCLUDEPICTURE  "cid:image001.jpg@01D5F173.13271880" \* MERGEFORMATINET </w:instrText>
      </w:r>
      <w:r w:rsidR="001C3369" w:rsidRPr="001C3369">
        <w:rPr>
          <w:rFonts w:ascii="Garamond" w:eastAsia="Calibri" w:hAnsi="Garamond"/>
          <w:noProof/>
          <w:sz w:val="26"/>
          <w:szCs w:val="26"/>
        </w:rPr>
        <w:fldChar w:fldCharType="separate"/>
      </w:r>
      <w:r w:rsidR="000E1F02">
        <w:rPr>
          <w:rFonts w:ascii="Garamond" w:eastAsia="Calibri" w:hAnsi="Garamond"/>
          <w:noProof/>
          <w:sz w:val="26"/>
          <w:szCs w:val="26"/>
        </w:rPr>
        <w:fldChar w:fldCharType="begin"/>
      </w:r>
      <w:r w:rsidR="000E1F02">
        <w:rPr>
          <w:rFonts w:ascii="Garamond" w:eastAsia="Calibri" w:hAnsi="Garamond"/>
          <w:noProof/>
          <w:sz w:val="26"/>
          <w:szCs w:val="26"/>
        </w:rPr>
        <w:instrText xml:space="preserve"> INCLUDEPICTURE  "cid:image001.jpg@01D5F173.13271880" \* MERGEFORMATINET </w:instrText>
      </w:r>
      <w:r w:rsidR="000E1F02">
        <w:rPr>
          <w:rFonts w:ascii="Garamond" w:eastAsia="Calibri" w:hAnsi="Garamond"/>
          <w:noProof/>
          <w:sz w:val="26"/>
          <w:szCs w:val="26"/>
        </w:rPr>
        <w:fldChar w:fldCharType="separate"/>
      </w:r>
      <w:r w:rsidR="002C5150">
        <w:rPr>
          <w:rFonts w:ascii="Garamond" w:eastAsia="Calibri" w:hAnsi="Garamond"/>
          <w:noProof/>
          <w:sz w:val="26"/>
          <w:szCs w:val="26"/>
        </w:rPr>
        <w:fldChar w:fldCharType="begin"/>
      </w:r>
      <w:r w:rsidR="002C5150">
        <w:rPr>
          <w:rFonts w:ascii="Garamond" w:eastAsia="Calibri" w:hAnsi="Garamond"/>
          <w:noProof/>
          <w:sz w:val="26"/>
          <w:szCs w:val="26"/>
        </w:rPr>
        <w:instrText xml:space="preserve"> </w:instrText>
      </w:r>
      <w:r w:rsidR="002C5150">
        <w:rPr>
          <w:rFonts w:ascii="Garamond" w:eastAsia="Calibri" w:hAnsi="Garamond"/>
          <w:noProof/>
          <w:sz w:val="26"/>
          <w:szCs w:val="26"/>
        </w:rPr>
        <w:instrText>INCLUDEPICTURE  "cid:image001.jpg@01D5F173.13271880" \* MERGEFORMATINET</w:instrText>
      </w:r>
      <w:r w:rsidR="002C5150">
        <w:rPr>
          <w:rFonts w:ascii="Garamond" w:eastAsia="Calibri" w:hAnsi="Garamond"/>
          <w:noProof/>
          <w:sz w:val="26"/>
          <w:szCs w:val="26"/>
        </w:rPr>
        <w:instrText xml:space="preserve"> </w:instrText>
      </w:r>
      <w:r w:rsidR="002C5150">
        <w:rPr>
          <w:rFonts w:ascii="Garamond" w:eastAsia="Calibri" w:hAnsi="Garamond"/>
          <w:noProof/>
          <w:sz w:val="26"/>
          <w:szCs w:val="26"/>
        </w:rPr>
        <w:fldChar w:fldCharType="separate"/>
      </w:r>
      <w:r w:rsidR="002C5150">
        <w:rPr>
          <w:rFonts w:ascii="Garamond" w:eastAsia="Calibri" w:hAnsi="Garamond"/>
          <w:noProof/>
          <w:sz w:val="26"/>
          <w:szCs w:val="26"/>
        </w:rPr>
        <w:pict w14:anchorId="033C1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343pt;visibility:visible">
            <v:imagedata r:id="rId6" r:href="rId7"/>
          </v:shape>
        </w:pict>
      </w:r>
      <w:r w:rsidR="002C5150">
        <w:rPr>
          <w:rFonts w:ascii="Garamond" w:eastAsia="Calibri" w:hAnsi="Garamond"/>
          <w:noProof/>
          <w:sz w:val="26"/>
          <w:szCs w:val="26"/>
        </w:rPr>
        <w:fldChar w:fldCharType="end"/>
      </w:r>
      <w:r w:rsidR="000E1F02">
        <w:rPr>
          <w:rFonts w:ascii="Garamond" w:eastAsia="Calibri" w:hAnsi="Garamond"/>
          <w:noProof/>
          <w:sz w:val="26"/>
          <w:szCs w:val="26"/>
        </w:rPr>
        <w:fldChar w:fldCharType="end"/>
      </w:r>
      <w:r w:rsidR="001C3369" w:rsidRPr="001C3369">
        <w:rPr>
          <w:rFonts w:ascii="Garamond" w:eastAsia="Calibri" w:hAnsi="Garamond"/>
          <w:noProof/>
          <w:sz w:val="26"/>
          <w:szCs w:val="26"/>
        </w:rPr>
        <w:fldChar w:fldCharType="end"/>
      </w:r>
      <w:r w:rsidRPr="001C3369">
        <w:rPr>
          <w:rFonts w:ascii="Garamond" w:eastAsia="Calibri" w:hAnsi="Garamond"/>
          <w:noProof/>
          <w:sz w:val="26"/>
          <w:szCs w:val="26"/>
        </w:rPr>
        <w:fldChar w:fldCharType="end"/>
      </w:r>
    </w:p>
    <w:p w14:paraId="6B488176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579B7F08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036536CB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</w:t>
      </w:r>
    </w:p>
    <w:p w14:paraId="5CF3B7E7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0CE2EE90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br w:type="page"/>
      </w:r>
    </w:p>
    <w:p w14:paraId="78E6D563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</w:p>
    <w:p w14:paraId="4A953751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>Regola di opportunità per l’attività sindacale</w:t>
      </w:r>
    </w:p>
    <w:p w14:paraId="5977FE1C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</w:p>
    <w:p w14:paraId="6B5C5049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</w:p>
    <w:p w14:paraId="4F80F1BC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Si segnala che l’art. 2 del DPCM prevede che nelle regioni e nelle province di </w:t>
      </w:r>
      <w:proofErr w:type="gramStart"/>
      <w:r w:rsidRPr="001C3369">
        <w:rPr>
          <w:rFonts w:ascii="Garamond" w:hAnsi="Garamond"/>
          <w:sz w:val="26"/>
          <w:szCs w:val="26"/>
        </w:rPr>
        <w:t>cui  all'allegato</w:t>
      </w:r>
      <w:proofErr w:type="gramEnd"/>
      <w:r w:rsidRPr="001C3369">
        <w:rPr>
          <w:rFonts w:ascii="Garamond" w:hAnsi="Garamond"/>
          <w:sz w:val="26"/>
          <w:szCs w:val="26"/>
        </w:rPr>
        <w:t xml:space="preserve"> 2</w:t>
      </w:r>
    </w:p>
    <w:p w14:paraId="20C6A4D2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7FADD8DD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i/>
          <w:iCs/>
          <w:sz w:val="26"/>
          <w:szCs w:val="26"/>
        </w:rPr>
      </w:pPr>
      <w:r w:rsidRPr="001C3369">
        <w:rPr>
          <w:rFonts w:ascii="Garamond" w:hAnsi="Garamond"/>
          <w:i/>
          <w:iCs/>
          <w:sz w:val="26"/>
          <w:szCs w:val="26"/>
        </w:rPr>
        <w:t xml:space="preserve">    Regioni: </w:t>
      </w:r>
    </w:p>
    <w:p w14:paraId="4B65888D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  a) Emilia-Romagna; b) Lombardia; c) Veneto</w:t>
      </w:r>
    </w:p>
    <w:p w14:paraId="11346337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</w:p>
    <w:p w14:paraId="21CEEE3A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i/>
          <w:iCs/>
          <w:sz w:val="26"/>
          <w:szCs w:val="26"/>
        </w:rPr>
      </w:pPr>
      <w:r w:rsidRPr="001C3369">
        <w:rPr>
          <w:rFonts w:ascii="Garamond" w:hAnsi="Garamond"/>
          <w:i/>
          <w:iCs/>
          <w:sz w:val="26"/>
          <w:szCs w:val="26"/>
        </w:rPr>
        <w:t xml:space="preserve">    Province: </w:t>
      </w:r>
    </w:p>
    <w:p w14:paraId="1A95F838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  a) Pesaro e Urbino; b) Savona.</w:t>
      </w:r>
    </w:p>
    <w:p w14:paraId="06604B52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37364D80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>sia adottata, tra le altre, la seguente misura di contenimento:</w:t>
      </w:r>
    </w:p>
    <w:p w14:paraId="3947F0A1" w14:textId="77777777" w:rsidR="00B52813" w:rsidRPr="001C3369" w:rsidRDefault="00B52813" w:rsidP="00B52813">
      <w:pPr>
        <w:ind w:left="709" w:hanging="709"/>
        <w:jc w:val="both"/>
        <w:rPr>
          <w:rFonts w:ascii="Garamond" w:hAnsi="Garamond"/>
          <w:sz w:val="26"/>
          <w:szCs w:val="26"/>
        </w:rPr>
      </w:pPr>
    </w:p>
    <w:p w14:paraId="17E7351F" w14:textId="77777777" w:rsidR="00B52813" w:rsidRPr="001C3369" w:rsidRDefault="00B52813" w:rsidP="00B52813">
      <w:pPr>
        <w:ind w:left="426" w:hanging="426"/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b/>
          <w:bCs/>
          <w:sz w:val="26"/>
          <w:szCs w:val="26"/>
        </w:rPr>
        <w:t xml:space="preserve">m) </w:t>
      </w:r>
      <w:r w:rsidRPr="001C3369">
        <w:rPr>
          <w:rFonts w:ascii="Garamond" w:hAnsi="Garamond"/>
          <w:b/>
          <w:bCs/>
          <w:sz w:val="26"/>
          <w:szCs w:val="26"/>
          <w:u w:val="single"/>
        </w:rPr>
        <w:t xml:space="preserve">privilegiare, nello svolgimento </w:t>
      </w:r>
      <w:proofErr w:type="gramStart"/>
      <w:r w:rsidRPr="001C3369">
        <w:rPr>
          <w:rFonts w:ascii="Garamond" w:hAnsi="Garamond"/>
          <w:b/>
          <w:bCs/>
          <w:sz w:val="26"/>
          <w:szCs w:val="26"/>
          <w:u w:val="single"/>
        </w:rPr>
        <w:t>di  incontri</w:t>
      </w:r>
      <w:proofErr w:type="gramEnd"/>
      <w:r w:rsidRPr="001C3369">
        <w:rPr>
          <w:rFonts w:ascii="Garamond" w:hAnsi="Garamond"/>
          <w:b/>
          <w:bCs/>
          <w:sz w:val="26"/>
          <w:szCs w:val="26"/>
          <w:u w:val="single"/>
        </w:rPr>
        <w:t xml:space="preserve">  o  riunioni,  le modalità di collegamento da remoto.</w:t>
      </w:r>
      <w:r w:rsidRPr="001C3369">
        <w:rPr>
          <w:rFonts w:ascii="Garamond" w:hAnsi="Garamond"/>
          <w:b/>
          <w:bCs/>
          <w:sz w:val="26"/>
          <w:szCs w:val="26"/>
        </w:rPr>
        <w:t xml:space="preserve">  Ciò vale in generale</w:t>
      </w:r>
      <w:r w:rsidRPr="001C3369">
        <w:rPr>
          <w:rFonts w:ascii="Garamond" w:hAnsi="Garamond"/>
          <w:sz w:val="26"/>
          <w:szCs w:val="26"/>
        </w:rPr>
        <w:t>, anche se</w:t>
      </w:r>
      <w:r w:rsidRPr="001C3369">
        <w:rPr>
          <w:rFonts w:ascii="Garamond" w:hAnsi="Garamond"/>
          <w:b/>
          <w:bCs/>
          <w:sz w:val="26"/>
          <w:szCs w:val="26"/>
        </w:rPr>
        <w:t xml:space="preserve"> </w:t>
      </w:r>
      <w:proofErr w:type="gramStart"/>
      <w:r w:rsidRPr="001C3369">
        <w:rPr>
          <w:rFonts w:ascii="Garamond" w:hAnsi="Garamond"/>
          <w:sz w:val="26"/>
          <w:szCs w:val="26"/>
        </w:rPr>
        <w:t>con  particolare</w:t>
      </w:r>
      <w:proofErr w:type="gramEnd"/>
      <w:r w:rsidRPr="001C3369">
        <w:rPr>
          <w:rFonts w:ascii="Garamond" w:hAnsi="Garamond"/>
          <w:sz w:val="26"/>
          <w:szCs w:val="26"/>
        </w:rPr>
        <w:t xml:space="preserve">  riferimento  a strutture sanitarie e sociosanitarie, servizi di pubblica utilità  e coordinamenti attivati nell'ambito dell'emergenza COVID-19.</w:t>
      </w:r>
    </w:p>
    <w:p w14:paraId="1BED9791" w14:textId="77777777" w:rsidR="00B52813" w:rsidRPr="001C3369" w:rsidRDefault="00B52813" w:rsidP="00B52813">
      <w:pPr>
        <w:ind w:left="426" w:hanging="426"/>
        <w:jc w:val="both"/>
        <w:rPr>
          <w:rFonts w:ascii="Garamond" w:hAnsi="Garamond"/>
          <w:sz w:val="26"/>
          <w:szCs w:val="26"/>
        </w:rPr>
      </w:pPr>
    </w:p>
    <w:p w14:paraId="04DC5D16" w14:textId="77777777" w:rsidR="00B52813" w:rsidRPr="001C3369" w:rsidRDefault="00B52813" w:rsidP="00B52813">
      <w:pPr>
        <w:ind w:left="426" w:hanging="426"/>
        <w:jc w:val="both"/>
        <w:rPr>
          <w:rFonts w:ascii="Garamond" w:hAnsi="Garamond"/>
          <w:sz w:val="26"/>
          <w:szCs w:val="26"/>
        </w:rPr>
      </w:pPr>
    </w:p>
    <w:p w14:paraId="14EBCC71" w14:textId="77777777" w:rsidR="00B52813" w:rsidRPr="001C3369" w:rsidRDefault="00B52813" w:rsidP="00B52813">
      <w:pPr>
        <w:ind w:left="426" w:hanging="426"/>
        <w:jc w:val="both"/>
        <w:rPr>
          <w:rFonts w:ascii="Garamond" w:hAnsi="Garamond"/>
          <w:sz w:val="26"/>
          <w:szCs w:val="26"/>
        </w:rPr>
      </w:pPr>
    </w:p>
    <w:p w14:paraId="350ECE6A" w14:textId="77777777" w:rsidR="00B52813" w:rsidRPr="001C3369" w:rsidRDefault="00B52813" w:rsidP="002E3213">
      <w:pPr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>Efficacia delle norme pregresse e delle misure contingibili e urgenti</w:t>
      </w:r>
    </w:p>
    <w:p w14:paraId="1411774D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7D1A80B0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Ai sensi dell’art. 6 del DPCM, dalla data di efficacia delle disposizioni del decreto cessano di produrre effetti il decreto del </w:t>
      </w:r>
      <w:proofErr w:type="gramStart"/>
      <w:r w:rsidRPr="001C3369">
        <w:rPr>
          <w:rFonts w:ascii="Garamond" w:hAnsi="Garamond"/>
          <w:sz w:val="26"/>
          <w:szCs w:val="26"/>
        </w:rPr>
        <w:t>Presidente  del</w:t>
      </w:r>
      <w:proofErr w:type="gramEnd"/>
      <w:r w:rsidRPr="001C3369">
        <w:rPr>
          <w:rFonts w:ascii="Garamond" w:hAnsi="Garamond"/>
          <w:sz w:val="26"/>
          <w:szCs w:val="26"/>
        </w:rPr>
        <w:t xml:space="preserve">  Consiglio dei ministri 23 febbraio 2020, nonché il decreto del Presidente  del Consiglio dei ministri 25 febbraio 2020. </w:t>
      </w:r>
      <w:r w:rsidRPr="001C3369">
        <w:rPr>
          <w:rFonts w:ascii="Garamond" w:hAnsi="Garamond"/>
          <w:b/>
          <w:bCs/>
          <w:sz w:val="26"/>
          <w:szCs w:val="26"/>
          <w:u w:val="single"/>
        </w:rPr>
        <w:t xml:space="preserve">Cessa </w:t>
      </w:r>
      <w:proofErr w:type="gramStart"/>
      <w:r w:rsidRPr="001C3369">
        <w:rPr>
          <w:rFonts w:ascii="Garamond" w:hAnsi="Garamond"/>
          <w:b/>
          <w:bCs/>
          <w:sz w:val="26"/>
          <w:szCs w:val="26"/>
          <w:u w:val="single"/>
        </w:rPr>
        <w:t>altresì  di</w:t>
      </w:r>
      <w:proofErr w:type="gramEnd"/>
      <w:r w:rsidRPr="001C3369">
        <w:rPr>
          <w:rFonts w:ascii="Garamond" w:hAnsi="Garamond"/>
          <w:b/>
          <w:bCs/>
          <w:sz w:val="26"/>
          <w:szCs w:val="26"/>
          <w:u w:val="single"/>
        </w:rPr>
        <w:t xml:space="preserve">  produrre effetto ogni ulteriore  misura  anche  di  carattere  contingibile  e urgente</w:t>
      </w:r>
      <w:r w:rsidRPr="001C3369">
        <w:rPr>
          <w:rFonts w:ascii="Garamond" w:hAnsi="Garamond"/>
          <w:sz w:val="26"/>
          <w:szCs w:val="26"/>
        </w:rPr>
        <w:t>, adottata, ai sensi dell'art. 3, comma 2,  del  decreto-legge 23 febbraio 2020, n. 6.</w:t>
      </w:r>
    </w:p>
    <w:p w14:paraId="7CC7D738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19988624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0B5EE43B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  <w:r w:rsidRPr="001C3369">
        <w:rPr>
          <w:rFonts w:ascii="Garamond" w:hAnsi="Garamond"/>
          <w:sz w:val="26"/>
          <w:szCs w:val="26"/>
        </w:rPr>
        <w:t xml:space="preserve">    L’art. 35 del decreto-legge 2 marzo 2020, n. 9, stabilisce infine che “</w:t>
      </w:r>
      <w:r w:rsidRPr="001C3369">
        <w:rPr>
          <w:rFonts w:ascii="Garamond" w:hAnsi="Garamond"/>
          <w:b/>
          <w:bCs/>
          <w:sz w:val="26"/>
          <w:szCs w:val="26"/>
        </w:rPr>
        <w:t xml:space="preserve">a seguito dell’adozione delle misure statali di contenimento e gestione dell’emergenza epidemiologica da COVID-19 </w:t>
      </w:r>
      <w:r w:rsidRPr="001C3369">
        <w:rPr>
          <w:rFonts w:ascii="Garamond" w:hAnsi="Garamond"/>
          <w:b/>
          <w:bCs/>
          <w:sz w:val="26"/>
          <w:szCs w:val="26"/>
          <w:u w:val="single"/>
        </w:rPr>
        <w:t>non possono essere adottate e, ove adottate sono inefficaci, le ordinanze sindacali contingibili e urgenti dirette a fronteggiare l’emergenza predetta in contrasto con le misure statali</w:t>
      </w:r>
      <w:r w:rsidRPr="001C3369">
        <w:rPr>
          <w:rFonts w:ascii="Garamond" w:hAnsi="Garamond"/>
          <w:sz w:val="26"/>
          <w:szCs w:val="26"/>
        </w:rPr>
        <w:t>”.</w:t>
      </w:r>
    </w:p>
    <w:p w14:paraId="5266540B" w14:textId="77777777" w:rsidR="00B52813" w:rsidRPr="001C3369" w:rsidRDefault="00B52813" w:rsidP="00B52813">
      <w:pPr>
        <w:jc w:val="both"/>
        <w:rPr>
          <w:rFonts w:ascii="Garamond" w:hAnsi="Garamond"/>
          <w:sz w:val="26"/>
          <w:szCs w:val="26"/>
        </w:rPr>
      </w:pPr>
    </w:p>
    <w:p w14:paraId="3AB31512" w14:textId="33AFE82E" w:rsidR="007A7B7C" w:rsidRPr="001C3369" w:rsidRDefault="007A7B7C" w:rsidP="00B52813">
      <w:pPr>
        <w:rPr>
          <w:rFonts w:ascii="Garamond" w:hAnsi="Garamond"/>
          <w:sz w:val="26"/>
          <w:szCs w:val="26"/>
        </w:rPr>
      </w:pPr>
    </w:p>
    <w:sectPr w:rsidR="007A7B7C" w:rsidRPr="001C3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076E"/>
    <w:multiLevelType w:val="hybridMultilevel"/>
    <w:tmpl w:val="565C7F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13"/>
    <w:rsid w:val="000E1F02"/>
    <w:rsid w:val="001C3369"/>
    <w:rsid w:val="002C5150"/>
    <w:rsid w:val="002E3213"/>
    <w:rsid w:val="003328F6"/>
    <w:rsid w:val="007A7B7C"/>
    <w:rsid w:val="00B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9D8D6A"/>
  <w15:chartTrackingRefBased/>
  <w15:docId w15:val="{D6F9BFC0-7668-40B2-8A27-E63801C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81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"/>
    <w:basedOn w:val="Normale"/>
    <w:link w:val="ParagrafoelencoCarattere"/>
    <w:uiPriority w:val="34"/>
    <w:qFormat/>
    <w:rsid w:val="00B5281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locked/>
    <w:rsid w:val="00B528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5F173.132718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0986-536B-44C9-8283-079F33D0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SPALIVIERO</dc:creator>
  <cp:keywords/>
  <dc:description/>
  <cp:lastModifiedBy>SPALIVIERO</cp:lastModifiedBy>
  <cp:revision>6</cp:revision>
  <cp:lastPrinted>2020-03-03T17:08:00Z</cp:lastPrinted>
  <dcterms:created xsi:type="dcterms:W3CDTF">2020-03-03T16:31:00Z</dcterms:created>
  <dcterms:modified xsi:type="dcterms:W3CDTF">2020-03-03T17:08:00Z</dcterms:modified>
</cp:coreProperties>
</file>